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3-0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0477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157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09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потерпевшей </w:t>
      </w:r>
      <w:r>
        <w:rPr>
          <w:rStyle w:val="cat-FIOgrp-2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Учителя </w:t>
      </w:r>
      <w:r>
        <w:rPr>
          <w:rFonts w:ascii="Times New Roman" w:eastAsia="Times New Roman" w:hAnsi="Times New Roman" w:cs="Times New Roman"/>
          <w:sz w:val="26"/>
          <w:szCs w:val="26"/>
        </w:rPr>
        <w:t>Виктора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Фёдоровича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Addressgrp-4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Style w:val="cat-PassportDatagrp-39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Ханты–Мансийский автономный округ – </w:t>
      </w:r>
      <w:r>
        <w:rPr>
          <w:rStyle w:val="cat-Addressgrp-5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статьей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ответственности за совершение однородных правонарушений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около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мин.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возле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№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проезд Рябиновый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Покачи ХМАО – Югра, в ходе ссоры, возникшей на почве личных неприязненных отношений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умышленно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нанес </w:t>
      </w:r>
      <w:r>
        <w:rPr>
          <w:rFonts w:ascii="Times New Roman" w:eastAsia="Times New Roman" w:hAnsi="Times New Roman" w:cs="Times New Roman"/>
          <w:sz w:val="26"/>
          <w:szCs w:val="26"/>
        </w:rPr>
        <w:t>от трех до пяти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удар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кулаком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область лица, головы и других участков тела своей сожительнице </w:t>
      </w:r>
      <w:r>
        <w:rPr>
          <w:rStyle w:val="cat-FIOgrp-27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чего </w:t>
      </w:r>
      <w:r>
        <w:rPr>
          <w:rFonts w:ascii="Times New Roman" w:eastAsia="Times New Roman" w:hAnsi="Times New Roman" w:cs="Times New Roman"/>
          <w:sz w:val="26"/>
          <w:szCs w:val="26"/>
        </w:rPr>
        <w:t>последняя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испытал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акту судебно-медицинского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376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у </w:t>
      </w:r>
      <w:r>
        <w:rPr>
          <w:rStyle w:val="cat-FIOgrp-27rplc-2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установлены телесные повреждения в виде ушиба мягких тканей </w:t>
      </w:r>
      <w:r>
        <w:rPr>
          <w:rFonts w:ascii="Times New Roman" w:eastAsia="Times New Roman" w:hAnsi="Times New Roman" w:cs="Times New Roman"/>
          <w:sz w:val="26"/>
          <w:szCs w:val="26"/>
        </w:rPr>
        <w:t>на волосистой части головы в правой теменной области, кровоизлияние на слизистой оболочке верхней губы на 1-х зубов, ссадины – одна в правой височной области, одна на передней поверхности шеи посередине в верхней трети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кровоподтёк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один на веках правого глаза, один в правой щечно-скуловой области, один на передней поверхности шеи справа в верхней трети, один на боковой поверхности шеи справа в средней трети, один на передней поверхности левого плеча в верхней трети, один на задневнутренней поверхности левого плеча в средней трети, один на задневнутренней поверхности правого плеча в верхней трети, один в проекции передней верхней ости левой подвздошной кости – как в совокупности, так и каждый в отдельности, не причинили вред здоровью человека. В действиях Учителя В.Ф. отсутствуют признаки уголовно наказуемого деяния.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однако </w:t>
      </w:r>
      <w:r>
        <w:rPr>
          <w:rFonts w:ascii="Times New Roman" w:eastAsia="Times New Roman" w:hAnsi="Times New Roman" w:cs="Times New Roman"/>
          <w:sz w:val="26"/>
          <w:szCs w:val="26"/>
        </w:rPr>
        <w:t>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выразил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свои действия не порицает,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был в состоянии алкогольного опьянения.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с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проживают, он принёс ей свои извинения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7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сообщила, что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извинения приняла</w:t>
      </w:r>
      <w:r>
        <w:rPr>
          <w:rFonts w:ascii="Times New Roman" w:eastAsia="Times New Roman" w:hAnsi="Times New Roman" w:cs="Times New Roman"/>
          <w:sz w:val="26"/>
          <w:szCs w:val="26"/>
        </w:rPr>
        <w:t>, просила строго не наказывать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потерпевшую </w:t>
      </w:r>
      <w:r>
        <w:rPr>
          <w:rStyle w:val="cat-FIOgrp-27rplc-2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представленные доказательства, суд приходит к следующему выводу.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удар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7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причинением физической боли,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признательными показаниями Учителя В.Ф., показаниями потерпевшей </w:t>
      </w:r>
      <w:r>
        <w:rPr>
          <w:rStyle w:val="cat-FIOgrp-27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доказател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ьствам, исследованными судом: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Покачи)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заявления </w:t>
      </w:r>
      <w:r>
        <w:rPr>
          <w:rStyle w:val="cat-FIOgrp-2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 к ответственности от 14 октября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направления на судебно-медицинское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14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325494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изложенным в нем существом правонарушения, который составлен в соответствии с требованиями ст. 28.2 КоАП РФ,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7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права, предусмотренные ст. 25.1 КоАП РФ, и положения ст. 51 Конституции РФ были разъяснены;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6"/>
          <w:szCs w:val="26"/>
        </w:rPr>
        <w:t>26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7rplc-4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 25 октября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-объяснениями г-на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ст. УУП ГУУП и ПДН ОП № 3 МОМВД России «Нижневартовский»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И.М. от 14 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копией протокола осмотра места происшествия от 30 апреля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копиями постановлений о возбуждении перед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внутренних дел о продлении срока проверки по рапорту о преступлении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-актом судебно-медицинского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376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потерпевшей установлены телесные повреждения в виде ушиба </w:t>
      </w:r>
      <w:r>
        <w:rPr>
          <w:rFonts w:ascii="Times New Roman" w:eastAsia="Times New Roman" w:hAnsi="Times New Roman" w:cs="Times New Roman"/>
          <w:sz w:val="26"/>
          <w:szCs w:val="26"/>
        </w:rPr>
        <w:t>в виде ушиба мягких тканей на волосистой части головы в правой теменной области, кровоизлияние на слизистой оболочке верхней губы на 1-х зубов, ссадины – одна в правой височной области, одна на передней поверхности шеи посередине в верхней трети, кровоподтёки – один на веках правого глаза, один в правой щечно-скуловой области, один на передней поверхности шеи справа в верхней трети, один на боковой поверхности шеи справа в средней трети, один на передней поверхности левого плеча в верхней трети, один на задневнутренней поверхности левого плеча в средней трети, один на задневнутренней поверхности правого плеча в верхней трети, один в проекции передней верхней ости левой подвздошной кости – как в совокупности, так и каждый в отдельности, не причинили вред здоровью человека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оперативного дежурного дежурной части ОП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г.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изучены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Style w:val="cat-FIOgrp-27rplc-6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имеющиеся письменные доказательства, исходя из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26.2 КоАП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РФ, мировой судья признает доказательства надлежащими, относимы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к данному делу, отвечающими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 допустимости, которые являются достаточными для установления вины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- нанесение побоев,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мировым судьей приняты во внимание характер и степень общественной опасности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позицию потерпевшей,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личность привлекаемого лица, в отношении которого отсутствуют отягчающие административную ответственность обстоятельства, предусмотренные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мере, предусмотренном санкцией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ст.6.1.1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Учителя Виктора Фёдоровича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ч.1 ст. 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0412365400235001572406176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0412365400235001572406176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157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157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4726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27rplc-8">
    <w:name w:val="cat-FIO grp-27 rplc-8"/>
    <w:basedOn w:val="DefaultParagraphFont"/>
  </w:style>
  <w:style w:type="character" w:customStyle="1" w:styleId="cat-PassportDatagrp-38rplc-10">
    <w:name w:val="cat-PassportData grp-38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Addressgrp-5rplc-14">
    <w:name w:val="cat-Address grp-5 rplc-14"/>
    <w:basedOn w:val="DefaultParagraphFont"/>
  </w:style>
  <w:style w:type="character" w:customStyle="1" w:styleId="cat-FIOgrp-27rplc-21">
    <w:name w:val="cat-FIO grp-27 rplc-21"/>
    <w:basedOn w:val="DefaultParagraphFont"/>
  </w:style>
  <w:style w:type="character" w:customStyle="1" w:styleId="cat-FIOgrp-27rplc-23">
    <w:name w:val="cat-FIO grp-27 rplc-23"/>
    <w:basedOn w:val="DefaultParagraphFont"/>
  </w:style>
  <w:style w:type="character" w:customStyle="1" w:styleId="cat-FIOgrp-27rplc-26">
    <w:name w:val="cat-FIO grp-27 rplc-26"/>
    <w:basedOn w:val="DefaultParagraphFont"/>
  </w:style>
  <w:style w:type="character" w:customStyle="1" w:styleId="cat-FIOgrp-27rplc-28">
    <w:name w:val="cat-FIO grp-27 rplc-28"/>
    <w:basedOn w:val="DefaultParagraphFont"/>
  </w:style>
  <w:style w:type="character" w:customStyle="1" w:styleId="cat-FIOgrp-27rplc-31">
    <w:name w:val="cat-FIO grp-27 rplc-31"/>
    <w:basedOn w:val="DefaultParagraphFont"/>
  </w:style>
  <w:style w:type="character" w:customStyle="1" w:styleId="cat-FIOgrp-27rplc-33">
    <w:name w:val="cat-FIO grp-27 rplc-33"/>
    <w:basedOn w:val="DefaultParagraphFont"/>
  </w:style>
  <w:style w:type="character" w:customStyle="1" w:styleId="cat-FIOgrp-27rplc-37">
    <w:name w:val="cat-FIO grp-27 rplc-37"/>
    <w:basedOn w:val="DefaultParagraphFont"/>
  </w:style>
  <w:style w:type="character" w:customStyle="1" w:styleId="cat-FIOgrp-27rplc-42">
    <w:name w:val="cat-FIO grp-27 rplc-42"/>
    <w:basedOn w:val="DefaultParagraphFont"/>
  </w:style>
  <w:style w:type="character" w:customStyle="1" w:styleId="cat-FIOgrp-27rplc-44">
    <w:name w:val="cat-FIO grp-27 rplc-44"/>
    <w:basedOn w:val="DefaultParagraphFont"/>
  </w:style>
  <w:style w:type="character" w:customStyle="1" w:styleId="cat-FIOgrp-27rplc-61">
    <w:name w:val="cat-FIO grp-2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6/statia-6.1.1/?marker=fdoctlaw" TargetMode="External" /><Relationship Id="rId5" Type="http://schemas.openxmlformats.org/officeDocument/2006/relationships/hyperlink" Target="http://sudact.ru/law/uk-rf/osobennaia-chast/razdel-vii/glava-16/statia-115/?marker=fdoctlaw" TargetMode="External" /><Relationship Id="rId6" Type="http://schemas.openxmlformats.org/officeDocument/2006/relationships/hyperlink" Target="http://sudact.ru/law/koap/razdel-iv/glava-26/statia-26.2/?marker=fdoctlaw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3C57-D5ED-472C-BC7F-1C989F89E88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